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5A89357" w:rsidR="00AE00EF" w:rsidRPr="0097219F" w:rsidRDefault="00461A3C" w:rsidP="003D3A2E">
            <w:pPr>
              <w:spacing w:before="0" w:line="276" w:lineRule="auto"/>
              <w:jc w:val="center"/>
              <w:rPr>
                <w:rFonts w:asciiTheme="minorHAnsi" w:hAnsiTheme="minorHAnsi" w:cstheme="minorHAnsi"/>
                <w:b/>
                <w:color w:val="0070C0"/>
                <w:sz w:val="16"/>
                <w:szCs w:val="16"/>
              </w:rPr>
            </w:pPr>
            <w:r w:rsidRPr="00461A3C">
              <w:rPr>
                <w:rFonts w:asciiTheme="minorHAnsi" w:hAnsiTheme="minorHAnsi" w:cstheme="minorHAnsi"/>
                <w:b/>
                <w:sz w:val="20"/>
                <w:szCs w:val="16"/>
              </w:rPr>
              <w:t>Zakup wsparcia serwisowego dla środowiska wirtualizacji Vmware</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5E9B04E4" w14:textId="79748403" w:rsidR="009619FA" w:rsidRDefault="00B810E1"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p w14:paraId="2ECC205C" w14:textId="247F8C8C" w:rsidR="00461A3C" w:rsidRDefault="00461A3C" w:rsidP="00711BFF">
      <w:pPr>
        <w:spacing w:before="0" w:line="276" w:lineRule="auto"/>
        <w:ind w:right="-34"/>
        <w:rPr>
          <w:rFonts w:asciiTheme="minorHAnsi" w:hAnsiTheme="minorHAnsi" w:cstheme="minorHAnsi"/>
          <w:b/>
          <w:bCs/>
          <w:color w:val="FF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1750"/>
        <w:gridCol w:w="4677"/>
        <w:gridCol w:w="993"/>
        <w:gridCol w:w="2126"/>
      </w:tblGrid>
      <w:tr w:rsidR="00EA6846" w:rsidRPr="00102D2A" w14:paraId="3769909F" w14:textId="77777777" w:rsidTr="001B4201">
        <w:trPr>
          <w:trHeight w:val="340"/>
          <w:jc w:val="center"/>
        </w:trPr>
        <w:tc>
          <w:tcPr>
            <w:tcW w:w="372" w:type="dxa"/>
            <w:shd w:val="clear" w:color="auto" w:fill="D9D9D9" w:themeFill="background1" w:themeFillShade="D9"/>
            <w:vAlign w:val="center"/>
          </w:tcPr>
          <w:p w14:paraId="61EBACE9" w14:textId="77777777" w:rsidR="00EA6846" w:rsidRPr="00102D2A" w:rsidRDefault="00EA6846" w:rsidP="001B4201">
            <w:pPr>
              <w:spacing w:before="0" w:line="276" w:lineRule="auto"/>
              <w:jc w:val="center"/>
              <w:rPr>
                <w:rFonts w:asciiTheme="minorHAnsi" w:hAnsiTheme="minorHAnsi" w:cstheme="minorHAnsi"/>
                <w:b/>
                <w:sz w:val="20"/>
                <w:szCs w:val="20"/>
              </w:rPr>
            </w:pPr>
            <w:proofErr w:type="spellStart"/>
            <w:r w:rsidRPr="00102D2A">
              <w:rPr>
                <w:rFonts w:asciiTheme="minorHAnsi" w:hAnsiTheme="minorHAnsi" w:cstheme="minorHAnsi"/>
                <w:b/>
                <w:sz w:val="20"/>
                <w:szCs w:val="20"/>
              </w:rPr>
              <w:t>lp</w:t>
            </w:r>
            <w:proofErr w:type="spellEnd"/>
          </w:p>
        </w:tc>
        <w:tc>
          <w:tcPr>
            <w:tcW w:w="1750" w:type="dxa"/>
            <w:shd w:val="clear" w:color="auto" w:fill="D9D9D9" w:themeFill="background1" w:themeFillShade="D9"/>
            <w:vAlign w:val="center"/>
          </w:tcPr>
          <w:p w14:paraId="2955638D" w14:textId="77777777"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SKU/ Kod</w:t>
            </w:r>
          </w:p>
        </w:tc>
        <w:tc>
          <w:tcPr>
            <w:tcW w:w="4677" w:type="dxa"/>
            <w:shd w:val="clear" w:color="auto" w:fill="D9D9D9" w:themeFill="background1" w:themeFillShade="D9"/>
            <w:vAlign w:val="center"/>
          </w:tcPr>
          <w:p w14:paraId="4BD8EA32" w14:textId="77777777" w:rsidR="00EA6846" w:rsidRPr="00102D2A" w:rsidRDefault="00EA6846" w:rsidP="001B4201">
            <w:pPr>
              <w:spacing w:before="0" w:line="276" w:lineRule="auto"/>
              <w:jc w:val="center"/>
              <w:rPr>
                <w:rFonts w:asciiTheme="minorHAnsi" w:hAnsiTheme="minorHAnsi" w:cstheme="minorHAnsi"/>
                <w:b/>
                <w:sz w:val="20"/>
                <w:szCs w:val="20"/>
              </w:rPr>
            </w:pPr>
            <w:r w:rsidRPr="00102D2A">
              <w:rPr>
                <w:rFonts w:asciiTheme="minorHAnsi" w:hAnsiTheme="minorHAnsi" w:cstheme="minorHAnsi"/>
                <w:b/>
                <w:sz w:val="20"/>
                <w:szCs w:val="20"/>
              </w:rPr>
              <w:t>Opis</w:t>
            </w:r>
          </w:p>
        </w:tc>
        <w:tc>
          <w:tcPr>
            <w:tcW w:w="993" w:type="dxa"/>
            <w:shd w:val="clear" w:color="auto" w:fill="D9D9D9" w:themeFill="background1" w:themeFillShade="D9"/>
            <w:vAlign w:val="center"/>
          </w:tcPr>
          <w:p w14:paraId="5B9D4F10"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sidRPr="00102D2A">
              <w:rPr>
                <w:rFonts w:asciiTheme="minorHAnsi" w:hAnsiTheme="minorHAnsi" w:cstheme="minorHAnsi"/>
                <w:b/>
                <w:color w:val="000000"/>
                <w:sz w:val="20"/>
                <w:szCs w:val="20"/>
                <w:lang w:eastAsia="en-US"/>
              </w:rPr>
              <w:t>Ilość</w:t>
            </w:r>
          </w:p>
        </w:tc>
        <w:tc>
          <w:tcPr>
            <w:tcW w:w="2126" w:type="dxa"/>
            <w:shd w:val="clear" w:color="auto" w:fill="D9D9D9" w:themeFill="background1" w:themeFillShade="D9"/>
            <w:vAlign w:val="center"/>
          </w:tcPr>
          <w:p w14:paraId="3CEEFCEB" w14:textId="77777777"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Wartość netto w PLN po rabacie</w:t>
            </w:r>
            <w:r w:rsidRPr="00102D2A">
              <w:rPr>
                <w:rFonts w:asciiTheme="minorHAnsi" w:hAnsiTheme="minorHAnsi" w:cstheme="minorHAnsi"/>
                <w:b/>
                <w:color w:val="000000"/>
                <w:sz w:val="20"/>
                <w:szCs w:val="20"/>
              </w:rPr>
              <w:br/>
            </w:r>
            <w:r w:rsidRPr="00102D2A">
              <w:rPr>
                <w:rStyle w:val="fontstyle01"/>
                <w:rFonts w:asciiTheme="minorHAnsi" w:hAnsiTheme="minorHAnsi" w:cstheme="minorHAnsi"/>
              </w:rPr>
              <w:t>specjalnym</w:t>
            </w:r>
          </w:p>
        </w:tc>
      </w:tr>
      <w:tr w:rsidR="00EA6846" w:rsidRPr="00102D2A" w14:paraId="7BD441C0" w14:textId="77777777" w:rsidTr="001B4201">
        <w:trPr>
          <w:trHeight w:val="1040"/>
          <w:jc w:val="center"/>
        </w:trPr>
        <w:tc>
          <w:tcPr>
            <w:tcW w:w="372" w:type="dxa"/>
            <w:vAlign w:val="center"/>
          </w:tcPr>
          <w:p w14:paraId="67DE0803"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sidRPr="00102D2A">
              <w:rPr>
                <w:rFonts w:asciiTheme="minorHAnsi" w:hAnsiTheme="minorHAnsi" w:cstheme="minorHAnsi"/>
                <w:b/>
                <w:color w:val="000000"/>
                <w:sz w:val="20"/>
                <w:szCs w:val="20"/>
                <w:lang w:eastAsia="en-US"/>
              </w:rPr>
              <w:t>1</w:t>
            </w:r>
          </w:p>
        </w:tc>
        <w:tc>
          <w:tcPr>
            <w:tcW w:w="1750" w:type="dxa"/>
            <w:vAlign w:val="center"/>
          </w:tcPr>
          <w:p w14:paraId="4BE65CA4" w14:textId="77777777"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IB SNS</w:t>
            </w:r>
          </w:p>
          <w:p w14:paraId="5F7CDB97"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p>
        </w:tc>
        <w:tc>
          <w:tcPr>
            <w:tcW w:w="4677" w:type="dxa"/>
            <w:vAlign w:val="center"/>
          </w:tcPr>
          <w:p w14:paraId="54010BCB" w14:textId="76AB35A8"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Wsparcie do posiadanych obecnie licencji na okres do 31.12.202</w:t>
            </w:r>
            <w:r>
              <w:rPr>
                <w:rStyle w:val="fontstyle01"/>
                <w:rFonts w:asciiTheme="minorHAnsi" w:hAnsiTheme="minorHAnsi" w:cstheme="minorHAnsi"/>
              </w:rPr>
              <w:t xml:space="preserve">6 </w:t>
            </w:r>
            <w:r>
              <w:rPr>
                <w:rStyle w:val="fontstyle01"/>
              </w:rPr>
              <w:t>dla licencji w modelu subskrypcyjnym</w:t>
            </w:r>
            <w:r w:rsidRPr="00102D2A">
              <w:rPr>
                <w:rFonts w:asciiTheme="minorHAnsi" w:hAnsiTheme="minorHAnsi" w:cstheme="minorHAnsi"/>
                <w:b/>
                <w:color w:val="000000"/>
                <w:sz w:val="20"/>
                <w:szCs w:val="20"/>
              </w:rPr>
              <w:br/>
            </w:r>
          </w:p>
        </w:tc>
        <w:tc>
          <w:tcPr>
            <w:tcW w:w="993" w:type="dxa"/>
            <w:vAlign w:val="center"/>
          </w:tcPr>
          <w:p w14:paraId="472E3FB7"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sidRPr="00102D2A">
              <w:rPr>
                <w:rFonts w:asciiTheme="minorHAnsi" w:hAnsiTheme="minorHAnsi" w:cstheme="minorHAnsi"/>
                <w:b/>
                <w:color w:val="000000"/>
                <w:sz w:val="20"/>
                <w:szCs w:val="20"/>
                <w:lang w:eastAsia="en-US"/>
              </w:rPr>
              <w:t>1</w:t>
            </w:r>
          </w:p>
        </w:tc>
        <w:tc>
          <w:tcPr>
            <w:tcW w:w="2126" w:type="dxa"/>
            <w:vAlign w:val="center"/>
          </w:tcPr>
          <w:p w14:paraId="544F2892"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p>
        </w:tc>
      </w:tr>
      <w:tr w:rsidR="00EA6846" w:rsidRPr="00102D2A" w14:paraId="5BFFEC0E" w14:textId="77777777" w:rsidTr="001B4201">
        <w:trPr>
          <w:trHeight w:val="340"/>
          <w:jc w:val="center"/>
        </w:trPr>
        <w:tc>
          <w:tcPr>
            <w:tcW w:w="372" w:type="dxa"/>
            <w:vAlign w:val="center"/>
          </w:tcPr>
          <w:p w14:paraId="481A0231"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sidRPr="00102D2A">
              <w:rPr>
                <w:rFonts w:asciiTheme="minorHAnsi" w:hAnsiTheme="minorHAnsi" w:cstheme="minorHAnsi"/>
                <w:b/>
                <w:color w:val="000000"/>
                <w:sz w:val="20"/>
                <w:szCs w:val="20"/>
                <w:lang w:eastAsia="en-US"/>
              </w:rPr>
              <w:t>2</w:t>
            </w:r>
          </w:p>
        </w:tc>
        <w:tc>
          <w:tcPr>
            <w:tcW w:w="1750" w:type="dxa"/>
            <w:vAlign w:val="center"/>
          </w:tcPr>
          <w:p w14:paraId="59CFA438" w14:textId="77777777" w:rsidR="00EA6846" w:rsidRDefault="00EA6846" w:rsidP="001B4201">
            <w:pPr>
              <w:spacing w:before="0"/>
              <w:jc w:val="center"/>
              <w:rPr>
                <w:rStyle w:val="fontstyle01"/>
                <w:rFonts w:asciiTheme="minorHAnsi" w:hAnsiTheme="minorHAnsi" w:cstheme="minorHAnsi"/>
              </w:rPr>
            </w:pPr>
          </w:p>
          <w:p w14:paraId="28D2DE4E" w14:textId="2B904C66"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HPP</w:t>
            </w:r>
            <w:r w:rsidRPr="00102D2A">
              <w:rPr>
                <w:rFonts w:asciiTheme="minorHAnsi" w:hAnsiTheme="minorHAnsi" w:cstheme="minorHAnsi"/>
                <w:b/>
                <w:color w:val="000000"/>
                <w:sz w:val="20"/>
                <w:szCs w:val="20"/>
              </w:rPr>
              <w:br/>
            </w:r>
          </w:p>
        </w:tc>
        <w:tc>
          <w:tcPr>
            <w:tcW w:w="4677" w:type="dxa"/>
            <w:vAlign w:val="center"/>
          </w:tcPr>
          <w:p w14:paraId="3CA71B45" w14:textId="36EF5590"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Punkty HPP – ważne do 31.12.202</w:t>
            </w:r>
            <w:r>
              <w:rPr>
                <w:rStyle w:val="fontstyle01"/>
                <w:rFonts w:asciiTheme="minorHAnsi" w:hAnsiTheme="minorHAnsi" w:cstheme="minorHAnsi"/>
              </w:rPr>
              <w:t>6</w:t>
            </w:r>
          </w:p>
        </w:tc>
        <w:tc>
          <w:tcPr>
            <w:tcW w:w="993" w:type="dxa"/>
            <w:vAlign w:val="center"/>
          </w:tcPr>
          <w:p w14:paraId="71CE0419" w14:textId="1E6079DA"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1000</w:t>
            </w:r>
          </w:p>
        </w:tc>
        <w:tc>
          <w:tcPr>
            <w:tcW w:w="2126" w:type="dxa"/>
            <w:vAlign w:val="center"/>
          </w:tcPr>
          <w:p w14:paraId="078031B7"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p>
        </w:tc>
      </w:tr>
      <w:tr w:rsidR="00EA6846" w:rsidRPr="00102D2A" w14:paraId="2AA83A78" w14:textId="77777777" w:rsidTr="001B4201">
        <w:trPr>
          <w:trHeight w:val="340"/>
          <w:jc w:val="center"/>
        </w:trPr>
        <w:tc>
          <w:tcPr>
            <w:tcW w:w="372" w:type="dxa"/>
            <w:vAlign w:val="center"/>
          </w:tcPr>
          <w:p w14:paraId="040FC63B" w14:textId="6A98ADFC" w:rsidR="00EA6846" w:rsidRPr="00102D2A" w:rsidRDefault="00EA6846" w:rsidP="001B4201">
            <w:pPr>
              <w:spacing w:before="0" w:line="276" w:lineRule="auto"/>
              <w:jc w:val="center"/>
              <w:rPr>
                <w:rFonts w:asciiTheme="minorHAnsi" w:eastAsia="Calibri" w:hAnsiTheme="minorHAnsi" w:cstheme="minorHAnsi"/>
                <w:b/>
                <w:color w:val="434343"/>
                <w:sz w:val="20"/>
                <w:szCs w:val="20"/>
                <w:lang w:eastAsia="en-US"/>
              </w:rPr>
            </w:pPr>
            <w:r w:rsidRPr="00102D2A">
              <w:rPr>
                <w:rFonts w:asciiTheme="minorHAnsi" w:eastAsia="Calibri" w:hAnsiTheme="minorHAnsi" w:cstheme="minorHAnsi"/>
                <w:b/>
                <w:color w:val="434343"/>
                <w:sz w:val="20"/>
                <w:szCs w:val="20"/>
                <w:lang w:eastAsia="en-US"/>
              </w:rPr>
              <w:t>3</w:t>
            </w:r>
          </w:p>
        </w:tc>
        <w:tc>
          <w:tcPr>
            <w:tcW w:w="1750" w:type="dxa"/>
            <w:vAlign w:val="center"/>
          </w:tcPr>
          <w:p w14:paraId="6C34838C" w14:textId="3DEE1219" w:rsidR="00EA6846" w:rsidRPr="00102D2A" w:rsidRDefault="00EA6846" w:rsidP="001B4201">
            <w:pPr>
              <w:spacing w:before="0"/>
              <w:jc w:val="center"/>
              <w:rPr>
                <w:rFonts w:asciiTheme="minorHAnsi" w:hAnsiTheme="minorHAnsi" w:cstheme="minorHAnsi"/>
                <w:b/>
                <w:sz w:val="20"/>
                <w:szCs w:val="20"/>
              </w:rPr>
            </w:pPr>
            <w:r>
              <w:rPr>
                <w:rStyle w:val="fontstyle01"/>
              </w:rPr>
              <w:t>PSO</w:t>
            </w:r>
          </w:p>
        </w:tc>
        <w:tc>
          <w:tcPr>
            <w:tcW w:w="4677" w:type="dxa"/>
            <w:vAlign w:val="center"/>
          </w:tcPr>
          <w:p w14:paraId="35A781F4" w14:textId="5211D726" w:rsidR="00EA6846" w:rsidRPr="00102D2A" w:rsidRDefault="00EA6846" w:rsidP="001B4201">
            <w:pPr>
              <w:spacing w:before="0"/>
              <w:jc w:val="center"/>
              <w:rPr>
                <w:rFonts w:asciiTheme="minorHAnsi" w:hAnsiTheme="minorHAnsi" w:cstheme="minorHAnsi"/>
                <w:b/>
                <w:sz w:val="20"/>
                <w:szCs w:val="20"/>
              </w:rPr>
            </w:pPr>
            <w:r w:rsidRPr="00102D2A">
              <w:rPr>
                <w:rStyle w:val="fontstyle01"/>
                <w:rFonts w:asciiTheme="minorHAnsi" w:hAnsiTheme="minorHAnsi" w:cstheme="minorHAnsi"/>
              </w:rPr>
              <w:t>Punkty PSO – ważne do 31.12.202</w:t>
            </w:r>
            <w:r>
              <w:rPr>
                <w:rStyle w:val="fontstyle01"/>
                <w:rFonts w:asciiTheme="minorHAnsi" w:hAnsiTheme="minorHAnsi" w:cstheme="minorHAnsi"/>
              </w:rPr>
              <w:t>6</w:t>
            </w:r>
          </w:p>
        </w:tc>
        <w:tc>
          <w:tcPr>
            <w:tcW w:w="993" w:type="dxa"/>
            <w:vAlign w:val="center"/>
          </w:tcPr>
          <w:p w14:paraId="76313D49" w14:textId="6E018A50"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1200</w:t>
            </w:r>
          </w:p>
        </w:tc>
        <w:tc>
          <w:tcPr>
            <w:tcW w:w="2126" w:type="dxa"/>
            <w:vAlign w:val="center"/>
          </w:tcPr>
          <w:p w14:paraId="5A091CF1"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p>
        </w:tc>
      </w:tr>
      <w:tr w:rsidR="00EA6846" w:rsidRPr="00102D2A" w14:paraId="5A588B01" w14:textId="77777777" w:rsidTr="001B4201">
        <w:trPr>
          <w:trHeight w:val="340"/>
          <w:jc w:val="center"/>
        </w:trPr>
        <w:tc>
          <w:tcPr>
            <w:tcW w:w="7792" w:type="dxa"/>
            <w:gridSpan w:val="4"/>
            <w:vAlign w:val="center"/>
          </w:tcPr>
          <w:p w14:paraId="12D7DD2C" w14:textId="77777777" w:rsidR="00EA6846" w:rsidRPr="00102D2A" w:rsidRDefault="00EA6846" w:rsidP="001B4201">
            <w:pPr>
              <w:spacing w:before="0" w:line="276" w:lineRule="auto"/>
              <w:jc w:val="right"/>
              <w:rPr>
                <w:rFonts w:asciiTheme="minorHAnsi" w:hAnsiTheme="minorHAnsi" w:cstheme="minorHAnsi"/>
                <w:b/>
                <w:color w:val="000000"/>
                <w:sz w:val="20"/>
                <w:szCs w:val="20"/>
                <w:lang w:eastAsia="en-US"/>
              </w:rPr>
            </w:pPr>
            <w:r w:rsidRPr="00102D2A">
              <w:rPr>
                <w:rFonts w:asciiTheme="minorHAnsi" w:hAnsiTheme="minorHAnsi" w:cstheme="minorHAnsi"/>
                <w:b/>
                <w:color w:val="000000"/>
                <w:sz w:val="20"/>
                <w:szCs w:val="20"/>
                <w:lang w:eastAsia="en-US"/>
              </w:rPr>
              <w:t>SUMA:</w:t>
            </w:r>
          </w:p>
        </w:tc>
        <w:tc>
          <w:tcPr>
            <w:tcW w:w="2126" w:type="dxa"/>
            <w:vAlign w:val="center"/>
          </w:tcPr>
          <w:p w14:paraId="7E4C90B6" w14:textId="77777777" w:rsidR="00EA6846" w:rsidRPr="00102D2A" w:rsidRDefault="00EA6846" w:rsidP="001B4201">
            <w:pPr>
              <w:spacing w:before="0" w:line="276" w:lineRule="auto"/>
              <w:jc w:val="center"/>
              <w:rPr>
                <w:rFonts w:asciiTheme="minorHAnsi" w:hAnsiTheme="minorHAnsi" w:cstheme="minorHAnsi"/>
                <w:b/>
                <w:color w:val="000000"/>
                <w:sz w:val="20"/>
                <w:szCs w:val="20"/>
                <w:lang w:eastAsia="en-US"/>
              </w:rPr>
            </w:pPr>
          </w:p>
        </w:tc>
      </w:tr>
    </w:tbl>
    <w:p w14:paraId="73E9B41B" w14:textId="68022A62" w:rsidR="00031824" w:rsidRDefault="00031824" w:rsidP="00711BFF">
      <w:pPr>
        <w:spacing w:before="0" w:line="276" w:lineRule="auto"/>
        <w:ind w:right="-34"/>
        <w:rPr>
          <w:rFonts w:asciiTheme="minorHAnsi" w:hAnsiTheme="minorHAnsi" w:cstheme="minorHAnsi"/>
          <w:sz w:val="20"/>
          <w:szCs w:val="20"/>
        </w:rPr>
      </w:pPr>
      <w:r w:rsidRPr="00AB57EF">
        <w:rPr>
          <w:rFonts w:asciiTheme="minorHAnsi" w:hAnsiTheme="minorHAnsi" w:cstheme="minorHAnsi"/>
          <w:b/>
          <w:bCs/>
          <w:color w:val="FF0000"/>
          <w:sz w:val="20"/>
          <w:szCs w:val="20"/>
        </w:rPr>
        <w:t xml:space="preserve">UWAGA! Ilości, które zostały wskazane </w:t>
      </w:r>
      <w:r>
        <w:rPr>
          <w:rFonts w:asciiTheme="minorHAnsi" w:hAnsiTheme="minorHAnsi" w:cstheme="minorHAnsi"/>
          <w:b/>
          <w:bCs/>
          <w:color w:val="FF0000"/>
          <w:sz w:val="20"/>
          <w:szCs w:val="20"/>
        </w:rPr>
        <w:t>powyżej</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F078BC">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F078BC">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F6C59FD"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zamówienie wykonam(y): samodzielnie</w:t>
      </w:r>
      <w:r>
        <w:rPr>
          <w:rFonts w:asciiTheme="minorHAnsi" w:hAnsiTheme="minorHAnsi" w:cstheme="minorHAnsi"/>
          <w:sz w:val="20"/>
          <w:szCs w:val="20"/>
        </w:rPr>
        <w:t>,</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91592">
        <w:rPr>
          <w:rFonts w:asciiTheme="minorHAnsi" w:hAnsiTheme="minorHAnsi" w:cstheme="minorHAnsi"/>
          <w:sz w:val="20"/>
          <w:szCs w:val="20"/>
          <w:lang w:eastAsia="pl-PL"/>
        </w:rPr>
      </w:r>
      <w:r w:rsidR="0099159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91592">
        <w:rPr>
          <w:rFonts w:asciiTheme="minorHAnsi" w:hAnsiTheme="minorHAnsi" w:cstheme="minorHAnsi"/>
          <w:sz w:val="20"/>
          <w:szCs w:val="20"/>
          <w:lang w:eastAsia="pl-PL"/>
        </w:rPr>
      </w:r>
      <w:r w:rsidR="0099159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E1170">
      <w:pPr>
        <w:pStyle w:val="Akapitzlist"/>
        <w:numPr>
          <w:ilvl w:val="0"/>
          <w:numId w:val="23"/>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E839AAC" w:rsidR="00701667" w:rsidRPr="003D3A2E" w:rsidRDefault="00461A3C" w:rsidP="003D3A2E">
      <w:pPr>
        <w:spacing w:before="0" w:line="276" w:lineRule="auto"/>
        <w:jc w:val="center"/>
        <w:rPr>
          <w:rFonts w:asciiTheme="minorHAnsi" w:hAnsiTheme="minorHAnsi" w:cstheme="minorHAnsi"/>
          <w:b/>
          <w:sz w:val="20"/>
          <w:szCs w:val="20"/>
        </w:rPr>
      </w:pPr>
      <w:bookmarkStart w:id="4" w:name="_Hlk129247086"/>
      <w:r w:rsidRPr="00461A3C">
        <w:rPr>
          <w:rFonts w:asciiTheme="minorHAnsi" w:hAnsiTheme="minorHAnsi" w:cstheme="minorHAnsi"/>
          <w:b/>
          <w:sz w:val="20"/>
          <w:szCs w:val="16"/>
        </w:rPr>
        <w:t>Zakup wsparcia serwisowego dla środowiska wirtualizacji Vmware</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91592">
              <w:rPr>
                <w:rFonts w:cstheme="minorHAnsi"/>
                <w:sz w:val="20"/>
                <w:szCs w:val="20"/>
              </w:rPr>
            </w:r>
            <w:r w:rsidR="0099159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91592">
              <w:rPr>
                <w:rFonts w:cstheme="minorHAnsi"/>
                <w:sz w:val="20"/>
                <w:szCs w:val="20"/>
              </w:rPr>
            </w:r>
            <w:r w:rsidR="0099159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91592">
              <w:rPr>
                <w:rFonts w:asciiTheme="minorHAnsi" w:hAnsiTheme="minorHAnsi" w:cstheme="minorHAnsi"/>
                <w:sz w:val="20"/>
                <w:szCs w:val="20"/>
                <w:lang w:eastAsia="en-US"/>
              </w:rPr>
            </w:r>
            <w:r w:rsidR="0099159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412C263"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w:t>
            </w:r>
            <w:r w:rsidR="00B2372D">
              <w:rPr>
                <w:rFonts w:asciiTheme="minorHAnsi" w:eastAsiaTheme="minorHAnsi" w:hAnsiTheme="minorHAnsi" w:cstheme="minorHAnsi"/>
                <w:i/>
                <w:sz w:val="20"/>
                <w:szCs w:val="20"/>
                <w:lang w:eastAsia="en-US"/>
              </w:rPr>
              <w:t>Usług</w:t>
            </w:r>
            <w:r w:rsidR="00B2372D" w:rsidRPr="00BC50B7">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Pr>
                <w:rFonts w:asciiTheme="minorHAnsi" w:eastAsiaTheme="minorHAnsi" w:hAnsiTheme="minorHAnsi" w:cstheme="minorHAnsi"/>
                <w:i/>
                <w:sz w:val="20"/>
                <w:szCs w:val="20"/>
                <w:lang w:eastAsia="en-US"/>
              </w:rPr>
              <w:t>Usługi</w:t>
            </w:r>
            <w:r w:rsidR="00B2372D" w:rsidRPr="00BC50B7">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1.1</w:t>
            </w:r>
            <w:r w:rsidR="00F2306F">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B2372D">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73ACC" w:rsidRPr="00B2372D" w14:paraId="34598D5A" w14:textId="77777777" w:rsidTr="00BC50B7">
        <w:tc>
          <w:tcPr>
            <w:tcW w:w="6478" w:type="dxa"/>
            <w:vAlign w:val="center"/>
          </w:tcPr>
          <w:p w14:paraId="6EA4C2F9" w14:textId="7E9C1354" w:rsidR="00073ACC" w:rsidRPr="00B2372D" w:rsidRDefault="00073ACC" w:rsidP="003E1170">
            <w:pPr>
              <w:numPr>
                <w:ilvl w:val="0"/>
                <w:numId w:val="48"/>
              </w:numPr>
              <w:spacing w:before="0" w:line="276" w:lineRule="auto"/>
              <w:ind w:left="599" w:hanging="425"/>
              <w:contextualSpacing/>
              <w:rPr>
                <w:rFonts w:asciiTheme="minorHAnsi" w:eastAsiaTheme="minorHAnsi" w:hAnsiTheme="minorHAnsi" w:cstheme="minorHAnsi"/>
                <w:i/>
                <w:sz w:val="20"/>
                <w:szCs w:val="20"/>
              </w:rPr>
            </w:pPr>
            <w:r w:rsidRPr="00B2372D">
              <w:rPr>
                <w:rFonts w:asciiTheme="minorHAnsi" w:eastAsiaTheme="minorHAnsi" w:hAnsiTheme="minorHAnsi" w:cstheme="minorHAnsi"/>
                <w:i/>
                <w:sz w:val="20"/>
                <w:szCs w:val="20"/>
              </w:rPr>
              <w:t xml:space="preserve">dokument/ certyfikat / zaświadczenie potwierdzające, że Wykonawca posiada aktualny status partnera firmy </w:t>
            </w:r>
            <w:r w:rsidR="00CB4775" w:rsidRPr="00B2372D">
              <w:rPr>
                <w:rFonts w:asciiTheme="minorHAnsi" w:eastAsiaTheme="minorHAnsi" w:hAnsiTheme="minorHAnsi" w:cstheme="minorHAnsi"/>
                <w:i/>
                <w:sz w:val="20"/>
                <w:szCs w:val="20"/>
              </w:rPr>
              <w:t xml:space="preserve">Vmware, </w:t>
            </w:r>
            <w:r w:rsidRPr="00B2372D">
              <w:rPr>
                <w:rFonts w:asciiTheme="minorHAnsi" w:eastAsiaTheme="minorHAnsi" w:hAnsiTheme="minorHAnsi" w:cstheme="minorHAnsi"/>
                <w:i/>
                <w:sz w:val="20"/>
                <w:szCs w:val="20"/>
              </w:rPr>
              <w:t>z zastrzeżeniem, że dokument powinien być wystawiony przez podmiot niepowiązany kapitałowo czy osobowo z Wykonawcą</w:t>
            </w:r>
          </w:p>
        </w:tc>
        <w:tc>
          <w:tcPr>
            <w:tcW w:w="2584" w:type="dxa"/>
            <w:vAlign w:val="center"/>
          </w:tcPr>
          <w:p w14:paraId="41D8C710" w14:textId="5385FD5F" w:rsidR="00073ACC" w:rsidRPr="00B2372D" w:rsidRDefault="00073ACC">
            <w:pPr>
              <w:spacing w:before="0" w:line="276" w:lineRule="auto"/>
              <w:ind w:left="-65"/>
              <w:contextualSpacing/>
              <w:jc w:val="center"/>
              <w:rPr>
                <w:rFonts w:asciiTheme="minorHAnsi" w:hAnsiTheme="minorHAnsi" w:cstheme="minorHAnsi"/>
                <w:iCs/>
                <w:sz w:val="20"/>
                <w:szCs w:val="20"/>
                <w:lang w:eastAsia="en-US"/>
              </w:rPr>
            </w:pPr>
            <w:r w:rsidRPr="00B2372D">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2372D">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2372D">
              <w:rPr>
                <w:rFonts w:asciiTheme="minorHAnsi" w:hAnsiTheme="minorHAnsi" w:cstheme="minorHAnsi"/>
                <w:iCs/>
                <w:sz w:val="20"/>
                <w:szCs w:val="20"/>
                <w:lang w:eastAsia="en-US"/>
              </w:rPr>
              <w:fldChar w:fldCharType="end"/>
            </w:r>
            <w:r w:rsidRPr="00B2372D">
              <w:rPr>
                <w:rFonts w:asciiTheme="minorHAnsi" w:hAnsiTheme="minorHAnsi" w:cstheme="minorHAnsi"/>
                <w:iCs/>
                <w:sz w:val="20"/>
                <w:szCs w:val="20"/>
                <w:lang w:eastAsia="en-US"/>
              </w:rPr>
              <w:t xml:space="preserve"> tak / </w:t>
            </w:r>
            <w:r w:rsidRPr="00B2372D">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2372D">
              <w:rPr>
                <w:rFonts w:asciiTheme="minorHAnsi" w:hAnsiTheme="minorHAnsi" w:cstheme="minorHAnsi"/>
                <w:iCs/>
                <w:sz w:val="20"/>
                <w:szCs w:val="20"/>
                <w:lang w:eastAsia="en-US"/>
              </w:rPr>
              <w:instrText xml:space="preserve"> FORMCHECKBOX </w:instrText>
            </w:r>
            <w:r w:rsidR="00991592">
              <w:rPr>
                <w:rFonts w:asciiTheme="minorHAnsi" w:hAnsiTheme="minorHAnsi" w:cstheme="minorHAnsi"/>
                <w:iCs/>
                <w:sz w:val="20"/>
                <w:szCs w:val="20"/>
                <w:lang w:eastAsia="en-US"/>
              </w:rPr>
            </w:r>
            <w:r w:rsidR="00991592">
              <w:rPr>
                <w:rFonts w:asciiTheme="minorHAnsi" w:hAnsiTheme="minorHAnsi" w:cstheme="minorHAnsi"/>
                <w:iCs/>
                <w:sz w:val="20"/>
                <w:szCs w:val="20"/>
                <w:lang w:eastAsia="en-US"/>
              </w:rPr>
              <w:fldChar w:fldCharType="separate"/>
            </w:r>
            <w:r w:rsidRPr="00B2372D">
              <w:rPr>
                <w:rFonts w:asciiTheme="minorHAnsi" w:hAnsiTheme="minorHAnsi" w:cstheme="minorHAnsi"/>
                <w:iCs/>
                <w:sz w:val="20"/>
                <w:szCs w:val="20"/>
                <w:lang w:eastAsia="en-US"/>
              </w:rPr>
              <w:fldChar w:fldCharType="end"/>
            </w:r>
            <w:r w:rsidRPr="00B2372D">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625E82" w:rsidRPr="00B2372D" w14:paraId="25D93B49" w14:textId="77777777" w:rsidTr="001B4201">
        <w:tc>
          <w:tcPr>
            <w:tcW w:w="9062" w:type="dxa"/>
            <w:gridSpan w:val="2"/>
            <w:vAlign w:val="center"/>
          </w:tcPr>
          <w:p w14:paraId="56F8E796" w14:textId="77777777" w:rsidR="00625E82" w:rsidRPr="00B2372D" w:rsidRDefault="00625E82" w:rsidP="003E1170">
            <w:pPr>
              <w:pStyle w:val="Akapitzlist"/>
              <w:numPr>
                <w:ilvl w:val="3"/>
                <w:numId w:val="22"/>
              </w:numPr>
              <w:spacing w:after="0"/>
              <w:ind w:left="447"/>
              <w:jc w:val="both"/>
              <w:rPr>
                <w:rFonts w:asciiTheme="minorHAnsi" w:hAnsiTheme="minorHAnsi" w:cstheme="minorHAnsi"/>
                <w:b/>
                <w:iCs/>
                <w:sz w:val="20"/>
                <w:szCs w:val="20"/>
              </w:rPr>
            </w:pPr>
            <w:r w:rsidRPr="00B2372D">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625E82" w:rsidRPr="007161CC" w14:paraId="49DBF550" w14:textId="77777777" w:rsidTr="001B4201">
        <w:tc>
          <w:tcPr>
            <w:tcW w:w="6478" w:type="dxa"/>
            <w:vAlign w:val="center"/>
          </w:tcPr>
          <w:p w14:paraId="19C43889" w14:textId="529CE4F6" w:rsidR="00625E82" w:rsidRPr="00B2372D" w:rsidRDefault="00625E82" w:rsidP="001B4201">
            <w:pPr>
              <w:pStyle w:val="Akapitzlist"/>
              <w:spacing w:after="0"/>
              <w:ind w:left="457"/>
              <w:jc w:val="both"/>
              <w:rPr>
                <w:rFonts w:asciiTheme="minorHAnsi" w:eastAsiaTheme="minorHAnsi" w:hAnsiTheme="minorHAnsi" w:cstheme="minorHAnsi"/>
                <w:sz w:val="20"/>
                <w:szCs w:val="20"/>
              </w:rPr>
            </w:pPr>
            <w:r w:rsidRPr="00B2372D">
              <w:rPr>
                <w:sz w:val="20"/>
                <w:szCs w:val="20"/>
              </w:rPr>
              <w:t>polisa lub inny dokument potwierdzający, że Wykonawca jest ubezpieczony od odpowiedzialności cywilnej w zakresie prowadzonej działalności związanej z przedmiotem zamówienia na sumę gwarancyjną</w:t>
            </w:r>
            <w:r w:rsidRPr="00B2372D">
              <w:rPr>
                <w:sz w:val="20"/>
                <w:szCs w:val="20"/>
              </w:rPr>
              <w:br/>
              <w:t>określoną przez Zamawiającego w pkt 6.1.2 WZ</w:t>
            </w:r>
          </w:p>
        </w:tc>
        <w:tc>
          <w:tcPr>
            <w:tcW w:w="2584" w:type="dxa"/>
            <w:vAlign w:val="center"/>
          </w:tcPr>
          <w:p w14:paraId="17B9B185" w14:textId="77777777" w:rsidR="00625E82" w:rsidRPr="00B2372D" w:rsidRDefault="00625E82" w:rsidP="001B4201">
            <w:pPr>
              <w:pStyle w:val="Akapitzlist"/>
              <w:ind w:left="640"/>
              <w:rPr>
                <w:rFonts w:asciiTheme="minorHAnsi" w:hAnsiTheme="minorHAnsi" w:cstheme="minorHAnsi"/>
                <w:iCs/>
                <w:sz w:val="20"/>
                <w:szCs w:val="20"/>
              </w:rPr>
            </w:pPr>
            <w:r w:rsidRPr="00B2372D">
              <w:rPr>
                <w:rFonts w:asciiTheme="minorHAnsi" w:hAnsiTheme="minorHAnsi" w:cstheme="minorHAnsi"/>
                <w:sz w:val="20"/>
                <w:szCs w:val="20"/>
              </w:rPr>
              <w:fldChar w:fldCharType="begin">
                <w:ffData>
                  <w:name w:val="Wybór1"/>
                  <w:enabled/>
                  <w:calcOnExit w:val="0"/>
                  <w:checkBox>
                    <w:sizeAuto/>
                    <w:default w:val="0"/>
                  </w:checkBox>
                </w:ffData>
              </w:fldChar>
            </w:r>
            <w:r w:rsidRPr="00B2372D">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B2372D">
              <w:rPr>
                <w:rFonts w:asciiTheme="minorHAnsi" w:hAnsiTheme="minorHAnsi" w:cstheme="minorHAnsi"/>
                <w:sz w:val="20"/>
                <w:szCs w:val="20"/>
              </w:rPr>
              <w:fldChar w:fldCharType="end"/>
            </w:r>
            <w:r w:rsidRPr="00B2372D">
              <w:rPr>
                <w:rFonts w:asciiTheme="minorHAnsi" w:hAnsiTheme="minorHAnsi" w:cstheme="minorHAnsi"/>
                <w:sz w:val="20"/>
                <w:szCs w:val="20"/>
              </w:rPr>
              <w:t xml:space="preserve"> tak / </w:t>
            </w:r>
            <w:r w:rsidRPr="00B2372D">
              <w:rPr>
                <w:rFonts w:asciiTheme="minorHAnsi" w:hAnsiTheme="minorHAnsi" w:cstheme="minorHAnsi"/>
                <w:sz w:val="20"/>
                <w:szCs w:val="20"/>
              </w:rPr>
              <w:fldChar w:fldCharType="begin">
                <w:ffData>
                  <w:name w:val="Wybór2"/>
                  <w:enabled/>
                  <w:calcOnExit w:val="0"/>
                  <w:checkBox>
                    <w:sizeAuto/>
                    <w:default w:val="0"/>
                  </w:checkBox>
                </w:ffData>
              </w:fldChar>
            </w:r>
            <w:r w:rsidRPr="00B2372D">
              <w:rPr>
                <w:rFonts w:asciiTheme="minorHAnsi" w:hAnsiTheme="minorHAnsi" w:cstheme="minorHAnsi"/>
                <w:sz w:val="20"/>
                <w:szCs w:val="20"/>
              </w:rPr>
              <w:instrText xml:space="preserve"> FORMCHECKBOX </w:instrText>
            </w:r>
            <w:r w:rsidR="00991592">
              <w:rPr>
                <w:rFonts w:asciiTheme="minorHAnsi" w:hAnsiTheme="minorHAnsi" w:cstheme="minorHAnsi"/>
                <w:sz w:val="20"/>
                <w:szCs w:val="20"/>
              </w:rPr>
            </w:r>
            <w:r w:rsidR="00991592">
              <w:rPr>
                <w:rFonts w:asciiTheme="minorHAnsi" w:hAnsiTheme="minorHAnsi" w:cstheme="minorHAnsi"/>
                <w:sz w:val="20"/>
                <w:szCs w:val="20"/>
              </w:rPr>
              <w:fldChar w:fldCharType="separate"/>
            </w:r>
            <w:r w:rsidRPr="00B2372D">
              <w:rPr>
                <w:rFonts w:asciiTheme="minorHAnsi" w:hAnsiTheme="minorHAnsi" w:cstheme="minorHAnsi"/>
                <w:sz w:val="20"/>
                <w:szCs w:val="20"/>
              </w:rPr>
              <w:fldChar w:fldCharType="end"/>
            </w:r>
            <w:r w:rsidRPr="00B2372D">
              <w:rPr>
                <w:rFonts w:asciiTheme="minorHAnsi" w:hAnsiTheme="minorHAnsi" w:cstheme="minorHAnsi"/>
                <w:sz w:val="20"/>
                <w:szCs w:val="20"/>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936692" w14:textId="16FCF555" w:rsidR="009619FA" w:rsidRDefault="00461A3C" w:rsidP="009619FA">
      <w:pPr>
        <w:tabs>
          <w:tab w:val="left" w:pos="709"/>
        </w:tabs>
        <w:spacing w:before="0" w:line="276" w:lineRule="auto"/>
        <w:jc w:val="center"/>
        <w:rPr>
          <w:rFonts w:asciiTheme="minorHAnsi" w:hAnsiTheme="minorHAnsi" w:cstheme="minorHAnsi"/>
          <w:b/>
          <w:sz w:val="20"/>
          <w:szCs w:val="20"/>
        </w:rPr>
      </w:pPr>
      <w:r w:rsidRPr="00461A3C">
        <w:rPr>
          <w:rFonts w:asciiTheme="minorHAnsi" w:hAnsiTheme="minorHAnsi" w:cstheme="minorHAnsi"/>
          <w:b/>
          <w:sz w:val="20"/>
          <w:szCs w:val="20"/>
        </w:rPr>
        <w:t>Zakup wsparcia serwisowego dla środowiska wirtualizacji Vmware</w:t>
      </w:r>
    </w:p>
    <w:p w14:paraId="015C6C90" w14:textId="77777777" w:rsidR="00461A3C" w:rsidRPr="003D3A2E" w:rsidRDefault="00461A3C"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778B01B" w14:textId="77777777" w:rsidR="00461A3C" w:rsidRDefault="00461A3C" w:rsidP="00461A3C">
      <w:pPr>
        <w:pStyle w:val="Tekstpodstawowy"/>
        <w:tabs>
          <w:tab w:val="left" w:pos="709"/>
        </w:tabs>
        <w:spacing w:after="0" w:line="276" w:lineRule="auto"/>
        <w:jc w:val="center"/>
        <w:rPr>
          <w:rFonts w:asciiTheme="minorHAnsi" w:hAnsiTheme="minorHAnsi" w:cstheme="minorHAnsi"/>
          <w:b/>
          <w:sz w:val="20"/>
          <w:szCs w:val="16"/>
        </w:rPr>
      </w:pPr>
      <w:r w:rsidRPr="00461A3C">
        <w:rPr>
          <w:rFonts w:asciiTheme="minorHAnsi" w:hAnsiTheme="minorHAnsi" w:cstheme="minorHAnsi"/>
          <w:b/>
          <w:sz w:val="20"/>
          <w:szCs w:val="16"/>
        </w:rPr>
        <w:t>Zakup wsparcia serwisowego dla środowiska wirtualizacji Vmware</w:t>
      </w:r>
    </w:p>
    <w:p w14:paraId="77ABCD7C" w14:textId="77777777" w:rsidR="00461A3C" w:rsidRDefault="00461A3C"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797EA27A" w14:textId="77777777" w:rsidR="00237C22" w:rsidRDefault="00461A3C" w:rsidP="003D3A2E">
      <w:pPr>
        <w:spacing w:before="0" w:line="276" w:lineRule="auto"/>
        <w:jc w:val="center"/>
        <w:rPr>
          <w:rFonts w:asciiTheme="minorHAnsi" w:hAnsiTheme="minorHAnsi" w:cstheme="minorHAnsi"/>
          <w:b/>
          <w:sz w:val="20"/>
          <w:szCs w:val="20"/>
        </w:rPr>
      </w:pPr>
      <w:r w:rsidRPr="00461A3C">
        <w:rPr>
          <w:rFonts w:asciiTheme="minorHAnsi" w:hAnsiTheme="minorHAnsi" w:cstheme="minorHAnsi"/>
          <w:b/>
          <w:sz w:val="20"/>
          <w:szCs w:val="20"/>
        </w:rPr>
        <w:t>Zakup wsparcia serwisowego dla środowiska wirtualizacji Vmware</w:t>
      </w:r>
    </w:p>
    <w:p w14:paraId="5E7D7559" w14:textId="4028D4F5"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919E12F"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61A3C" w:rsidRPr="00461A3C">
        <w:rPr>
          <w:rFonts w:ascii="Calibri-Bold" w:hAnsi="Calibri-Bold"/>
          <w:b/>
          <w:bCs/>
          <w:color w:val="000000"/>
          <w:sz w:val="20"/>
          <w:szCs w:val="20"/>
        </w:rPr>
        <w:t>1400/DW00/ZT/KZ/2023/0000106214</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6635DB30"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461A3C" w:rsidRPr="00461A3C">
        <w:rPr>
          <w:rFonts w:ascii="Calibri-Bold" w:hAnsi="Calibri-Bold"/>
          <w:b/>
          <w:bCs/>
          <w:color w:val="000000"/>
          <w:sz w:val="20"/>
          <w:szCs w:val="20"/>
        </w:rPr>
        <w:t>1400/DW00/ZT/KZ/2023/0000106214</w:t>
      </w:r>
      <w:r w:rsidR="00461A3C" w:rsidRPr="00461A3C">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2E246CA"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461A3C" w:rsidRPr="00461A3C">
        <w:rPr>
          <w:rFonts w:ascii="Calibri-Bold" w:hAnsi="Calibri-Bold"/>
          <w:b/>
          <w:bCs/>
          <w:color w:val="000000"/>
          <w:sz w:val="20"/>
          <w:szCs w:val="20"/>
        </w:rPr>
        <w:t>1400/DW00/ZT/KZ/2023/0000106214</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71CF6A30" w:rsidR="00DE4AEA" w:rsidRPr="003D3A2E" w:rsidRDefault="00461A3C" w:rsidP="003D3A2E">
      <w:pPr>
        <w:spacing w:before="0" w:line="276" w:lineRule="auto"/>
        <w:jc w:val="center"/>
        <w:rPr>
          <w:rFonts w:asciiTheme="minorHAnsi" w:hAnsiTheme="minorHAnsi" w:cstheme="minorHAnsi"/>
          <w:b/>
          <w:sz w:val="20"/>
          <w:szCs w:val="20"/>
        </w:rPr>
      </w:pPr>
      <w:r w:rsidRPr="00461A3C">
        <w:rPr>
          <w:rFonts w:ascii="Calibri-Bold" w:hAnsi="Calibri-Bold"/>
          <w:b/>
          <w:bCs/>
          <w:color w:val="000000"/>
          <w:sz w:val="20"/>
          <w:szCs w:val="20"/>
        </w:rPr>
        <w:t>Zakup wsparcia serwisowego dla środowiska wirtualizacji Vmware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2268" w:type="dxa"/>
            <w:shd w:val="clear" w:color="auto" w:fill="auto"/>
          </w:tcPr>
          <w:p w14:paraId="364A51C8" w14:textId="662A5601" w:rsidR="009619FA" w:rsidRPr="00B2372D" w:rsidRDefault="00CF20C5" w:rsidP="003D3A2E">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CB4775" w:rsidRPr="001B118A">
              <w:rPr>
                <w:rFonts w:asciiTheme="minorHAnsi" w:hAnsiTheme="minorHAnsi" w:cstheme="minorHAnsi"/>
                <w:b/>
                <w:sz w:val="20"/>
                <w:szCs w:val="20"/>
              </w:rPr>
              <w:t>dostarczeni</w:t>
            </w:r>
            <w:r w:rsidR="00494910">
              <w:rPr>
                <w:rFonts w:asciiTheme="minorHAnsi" w:hAnsiTheme="minorHAnsi" w:cstheme="minorHAnsi"/>
                <w:b/>
                <w:sz w:val="20"/>
                <w:szCs w:val="20"/>
              </w:rPr>
              <w:t>e</w:t>
            </w:r>
            <w:r w:rsidR="00CB4775" w:rsidRPr="00494910">
              <w:rPr>
                <w:rFonts w:asciiTheme="minorHAnsi" w:hAnsiTheme="minorHAnsi" w:cstheme="minorHAnsi"/>
                <w:b/>
                <w:sz w:val="20"/>
                <w:szCs w:val="20"/>
              </w:rPr>
              <w:t xml:space="preserve"> licencji oprogramowania </w:t>
            </w:r>
            <w:proofErr w:type="spellStart"/>
            <w:r w:rsidR="00CB4775" w:rsidRPr="00494910">
              <w:rPr>
                <w:rFonts w:asciiTheme="minorHAnsi" w:hAnsiTheme="minorHAnsi" w:cstheme="minorHAnsi"/>
                <w:b/>
                <w:sz w:val="20"/>
                <w:szCs w:val="20"/>
              </w:rPr>
              <w:t>VMware</w:t>
            </w:r>
            <w:proofErr w:type="spellEnd"/>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6EAB0C2A" w:rsidR="00C03E08" w:rsidRPr="00B2372D" w:rsidRDefault="00CB4775" w:rsidP="003D3A2E">
            <w:pPr>
              <w:spacing w:before="0" w:line="276" w:lineRule="auto"/>
              <w:ind w:left="-103"/>
              <w:jc w:val="center"/>
              <w:rPr>
                <w:rFonts w:asciiTheme="minorHAnsi" w:eastAsiaTheme="minorHAnsi" w:hAnsiTheme="minorHAnsi" w:cstheme="minorHAnsi"/>
                <w:sz w:val="20"/>
                <w:szCs w:val="20"/>
              </w:rPr>
            </w:pPr>
            <w:r w:rsidRPr="00494910">
              <w:rPr>
                <w:rFonts w:asciiTheme="minorHAnsi" w:eastAsiaTheme="minorHAnsi" w:hAnsiTheme="minorHAnsi" w:cstheme="minorHAnsi"/>
                <w:b/>
                <w:sz w:val="20"/>
                <w:szCs w:val="20"/>
              </w:rPr>
              <w:t>3 000</w:t>
            </w:r>
            <w:r w:rsidR="00BF101D" w:rsidRPr="00B2372D">
              <w:rPr>
                <w:rFonts w:asciiTheme="minorHAnsi" w:eastAsiaTheme="minorHAnsi" w:hAnsiTheme="minorHAnsi" w:cstheme="minorHAnsi"/>
                <w:b/>
                <w:sz w:val="20"/>
                <w:szCs w:val="20"/>
              </w:rPr>
              <w:t> </w:t>
            </w:r>
            <w:r w:rsidR="00C03E08" w:rsidRPr="00B2372D">
              <w:rPr>
                <w:rFonts w:asciiTheme="minorHAnsi" w:eastAsiaTheme="minorHAnsi" w:hAnsiTheme="minorHAnsi" w:cstheme="minorHAnsi"/>
                <w:b/>
                <w:sz w:val="20"/>
                <w:szCs w:val="20"/>
              </w:rPr>
              <w:t xml:space="preserve">000,00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6EF80533"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5613A12C" w:rsidR="0030391A" w:rsidRPr="003D3A2E" w:rsidRDefault="00461A3C" w:rsidP="003D3A2E">
            <w:pPr>
              <w:spacing w:before="0" w:line="276" w:lineRule="auto"/>
              <w:jc w:val="center"/>
              <w:rPr>
                <w:rFonts w:asciiTheme="minorHAnsi" w:hAnsiTheme="minorHAnsi" w:cstheme="minorHAnsi"/>
                <w:b/>
                <w:bCs/>
                <w:color w:val="FFFFFF"/>
                <w:sz w:val="20"/>
                <w:szCs w:val="20"/>
              </w:rPr>
            </w:pPr>
            <w:r w:rsidRPr="00461A3C">
              <w:rPr>
                <w:rFonts w:asciiTheme="minorHAnsi" w:hAnsiTheme="minorHAnsi" w:cstheme="minorHAnsi"/>
                <w:b/>
                <w:sz w:val="20"/>
                <w:szCs w:val="20"/>
              </w:rPr>
              <w:t>Zakup wsparcia serwisowego dla środowiska wirtualizacji Vmware</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43EC61D1"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21C4" w16cex:dateUtc="2023-11-24T12:21:00Z"/>
  <w16cex:commentExtensible w16cex:durableId="290B225D" w16cex:dateUtc="2023-11-24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E4BC" w14:textId="77777777" w:rsidR="00991592" w:rsidRDefault="00991592" w:rsidP="007A1C80">
      <w:pPr>
        <w:spacing w:before="0"/>
      </w:pPr>
      <w:r>
        <w:separator/>
      </w:r>
    </w:p>
  </w:endnote>
  <w:endnote w:type="continuationSeparator" w:id="0">
    <w:p w14:paraId="7DBBFDE0" w14:textId="77777777" w:rsidR="00991592" w:rsidRDefault="00991592" w:rsidP="007A1C80">
      <w:pPr>
        <w:spacing w:before="0"/>
      </w:pPr>
      <w:r>
        <w:continuationSeparator/>
      </w:r>
    </w:p>
  </w:endnote>
  <w:endnote w:type="continuationNotice" w:id="1">
    <w:p w14:paraId="268C78D4" w14:textId="77777777" w:rsidR="00991592" w:rsidRDefault="009915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Futura Hv">
    <w:altName w:val="Century Gothic"/>
    <w:charset w:val="EE"/>
    <w:family w:val="swiss"/>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991592" w:rsidRPr="00942D67" w:rsidRDefault="00991592"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91592" w:rsidRPr="00CC08B4" w:rsidRDefault="0099159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991592" w:rsidRPr="006C4383" w:rsidRDefault="0099159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91592" w:rsidRPr="00902DE3" w:rsidRDefault="0099159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991592" w:rsidRPr="006467C1" w:rsidRDefault="0099159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C787" w14:textId="77777777" w:rsidR="00991592" w:rsidRDefault="00991592" w:rsidP="007A1C80">
      <w:pPr>
        <w:spacing w:before="0"/>
      </w:pPr>
      <w:r>
        <w:separator/>
      </w:r>
    </w:p>
  </w:footnote>
  <w:footnote w:type="continuationSeparator" w:id="0">
    <w:p w14:paraId="1EE3489E" w14:textId="77777777" w:rsidR="00991592" w:rsidRDefault="00991592" w:rsidP="007A1C80">
      <w:pPr>
        <w:spacing w:before="0"/>
      </w:pPr>
      <w:r>
        <w:continuationSeparator/>
      </w:r>
    </w:p>
  </w:footnote>
  <w:footnote w:type="continuationNotice" w:id="1">
    <w:p w14:paraId="2212CD1E" w14:textId="77777777" w:rsidR="00991592" w:rsidRDefault="00991592">
      <w:pPr>
        <w:spacing w:before="0"/>
      </w:pPr>
    </w:p>
  </w:footnote>
  <w:footnote w:id="2">
    <w:p w14:paraId="23B12575" w14:textId="77777777" w:rsidR="00991592" w:rsidRPr="00BC50B7" w:rsidRDefault="00991592"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91592" w:rsidRPr="00BC50B7" w:rsidRDefault="00991592"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91592" w:rsidRPr="00BC50B7" w:rsidRDefault="0099159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91592" w:rsidRPr="00BC50B7" w:rsidRDefault="00991592"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91592" w:rsidRPr="00BC50B7" w:rsidRDefault="00991592"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91592" w:rsidRPr="006A7964" w:rsidRDefault="00991592"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91592" w:rsidRPr="00891EB7" w:rsidRDefault="00991592"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91592" w:rsidRPr="00DD3397" w14:paraId="66786349" w14:textId="77777777" w:rsidTr="007E4C27">
      <w:trPr>
        <w:cantSplit/>
        <w:trHeight w:val="284"/>
      </w:trPr>
      <w:tc>
        <w:tcPr>
          <w:tcW w:w="6486" w:type="dxa"/>
          <w:tcBorders>
            <w:top w:val="nil"/>
            <w:left w:val="nil"/>
            <w:bottom w:val="nil"/>
            <w:right w:val="nil"/>
          </w:tcBorders>
        </w:tcPr>
        <w:p w14:paraId="18ECAC9A" w14:textId="5FBDF701" w:rsidR="00991592" w:rsidRPr="00DD3397" w:rsidRDefault="00991592"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91592" w:rsidRPr="00DD3397" w:rsidRDefault="0099159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91592"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91592" w:rsidRPr="00DD3397" w:rsidRDefault="0099159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6CBB929" w:rsidR="00991592" w:rsidRPr="006B4A38" w:rsidRDefault="00991592" w:rsidP="005C6F8F">
          <w:pPr>
            <w:pStyle w:val="Nagwek"/>
            <w:spacing w:before="0"/>
            <w:jc w:val="right"/>
            <w:rPr>
              <w:rFonts w:asciiTheme="minorHAnsi" w:hAnsiTheme="minorHAnsi" w:cstheme="minorHAnsi"/>
              <w:bCs/>
              <w:sz w:val="18"/>
              <w:szCs w:val="18"/>
            </w:rPr>
          </w:pPr>
          <w:r w:rsidRPr="00461A3C">
            <w:rPr>
              <w:rFonts w:asciiTheme="minorHAnsi" w:hAnsiTheme="minorHAnsi" w:cstheme="minorHAnsi"/>
              <w:b/>
              <w:bCs/>
              <w:sz w:val="18"/>
              <w:szCs w:val="18"/>
            </w:rPr>
            <w:t>1400/DW00/ZT/KZ/2023/0000106214</w:t>
          </w:r>
        </w:p>
      </w:tc>
    </w:tr>
  </w:tbl>
  <w:p w14:paraId="6F0CB038" w14:textId="77777777" w:rsidR="00991592" w:rsidRPr="00C842CA" w:rsidRDefault="00991592"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91592" w:rsidRPr="00DD3397" w14:paraId="586C100C" w14:textId="77777777" w:rsidTr="005C6F8F">
      <w:trPr>
        <w:cantSplit/>
        <w:trHeight w:val="284"/>
      </w:trPr>
      <w:tc>
        <w:tcPr>
          <w:tcW w:w="6489" w:type="dxa"/>
          <w:tcBorders>
            <w:top w:val="nil"/>
            <w:left w:val="nil"/>
            <w:bottom w:val="nil"/>
            <w:right w:val="nil"/>
          </w:tcBorders>
        </w:tcPr>
        <w:p w14:paraId="4BD59EEF" w14:textId="77777777" w:rsidR="00991592" w:rsidRPr="00DD3397" w:rsidRDefault="00991592"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91592" w:rsidRPr="00DD3397" w:rsidRDefault="0099159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91592"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91592" w:rsidRPr="00DD3397" w:rsidRDefault="0099159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9CE7BC0" w:rsidR="00991592" w:rsidRPr="00F737B7" w:rsidRDefault="00991592" w:rsidP="005C6F8F">
          <w:pPr>
            <w:pStyle w:val="Nagwek"/>
            <w:spacing w:before="0"/>
            <w:jc w:val="right"/>
            <w:rPr>
              <w:rFonts w:asciiTheme="minorHAnsi" w:hAnsiTheme="minorHAnsi" w:cstheme="minorHAnsi"/>
              <w:b/>
              <w:bCs/>
              <w:sz w:val="18"/>
              <w:szCs w:val="18"/>
            </w:rPr>
          </w:pPr>
          <w:r w:rsidRPr="00461A3C">
            <w:rPr>
              <w:rFonts w:asciiTheme="minorHAnsi" w:hAnsiTheme="minorHAnsi" w:cstheme="minorHAnsi"/>
              <w:b/>
              <w:bCs/>
              <w:sz w:val="18"/>
              <w:szCs w:val="18"/>
            </w:rPr>
            <w:t>1400/DW00/ZT/KZ/2023/0000106214</w:t>
          </w:r>
        </w:p>
      </w:tc>
    </w:tr>
  </w:tbl>
  <w:p w14:paraId="61AE3A27" w14:textId="77777777" w:rsidR="00991592" w:rsidRPr="00121F3A" w:rsidRDefault="0099159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91592" w:rsidRPr="00DD3397" w14:paraId="24CD1EE5" w14:textId="77777777" w:rsidTr="00B047D1">
      <w:trPr>
        <w:cantSplit/>
        <w:trHeight w:val="284"/>
      </w:trPr>
      <w:tc>
        <w:tcPr>
          <w:tcW w:w="6486" w:type="dxa"/>
          <w:tcBorders>
            <w:top w:val="nil"/>
            <w:left w:val="nil"/>
            <w:bottom w:val="nil"/>
            <w:right w:val="nil"/>
          </w:tcBorders>
        </w:tcPr>
        <w:p w14:paraId="5371FC05" w14:textId="77777777" w:rsidR="00991592" w:rsidRPr="00DD3397" w:rsidRDefault="0099159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991592" w:rsidRPr="00DD3397" w:rsidRDefault="0099159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91592"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991592" w:rsidRPr="00DD3397" w:rsidRDefault="00991592"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26A6ECC5" w:rsidR="00991592" w:rsidRPr="006B4A38" w:rsidRDefault="00991592" w:rsidP="00031B2A">
          <w:pPr>
            <w:pStyle w:val="Nagwek"/>
            <w:spacing w:before="0"/>
            <w:jc w:val="right"/>
            <w:rPr>
              <w:rFonts w:asciiTheme="minorHAnsi" w:hAnsiTheme="minorHAnsi" w:cstheme="minorHAnsi"/>
              <w:bCs/>
              <w:sz w:val="18"/>
              <w:szCs w:val="18"/>
            </w:rPr>
          </w:pPr>
          <w:r w:rsidRPr="00276923">
            <w:rPr>
              <w:rFonts w:asciiTheme="minorHAnsi" w:hAnsiTheme="minorHAnsi" w:cstheme="minorHAnsi"/>
              <w:b/>
              <w:bCs/>
              <w:sz w:val="18"/>
              <w:szCs w:val="18"/>
            </w:rPr>
            <w:t>1400/DW00/ZT/KZ/2023/0000106214</w:t>
          </w:r>
        </w:p>
      </w:tc>
    </w:tr>
  </w:tbl>
  <w:p w14:paraId="10775515" w14:textId="7FE214E0" w:rsidR="00991592" w:rsidRPr="00031B2A" w:rsidRDefault="00991592"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91592" w:rsidRPr="00933E1D" w:rsidRDefault="00991592">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91592" w:rsidRPr="00DD3397" w14:paraId="7B656C5E" w14:textId="77777777" w:rsidTr="00B047D1">
      <w:trPr>
        <w:cantSplit/>
        <w:trHeight w:val="284"/>
      </w:trPr>
      <w:tc>
        <w:tcPr>
          <w:tcW w:w="6486" w:type="dxa"/>
          <w:tcBorders>
            <w:top w:val="nil"/>
            <w:left w:val="nil"/>
            <w:bottom w:val="nil"/>
            <w:right w:val="nil"/>
          </w:tcBorders>
        </w:tcPr>
        <w:p w14:paraId="2FA1730B" w14:textId="77777777" w:rsidR="00991592" w:rsidRPr="00DD3397" w:rsidRDefault="00991592"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91592" w:rsidRPr="00DD3397" w:rsidRDefault="00991592"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91592"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91592" w:rsidRPr="00DD3397" w:rsidRDefault="00991592"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91592" w:rsidRPr="006B4A38" w:rsidRDefault="00991592"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91592" w:rsidRPr="00031B2A" w:rsidRDefault="00991592"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1"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1"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rPr>
      </w:lvl>
    </w:lvlOverride>
  </w:num>
  <w:num w:numId="2">
    <w:abstractNumId w:val="83"/>
  </w:num>
  <w:num w:numId="3">
    <w:abstractNumId w:val="95"/>
  </w:num>
  <w:num w:numId="4">
    <w:abstractNumId w:val="61"/>
  </w:num>
  <w:num w:numId="5">
    <w:abstractNumId w:val="74"/>
  </w:num>
  <w:num w:numId="6">
    <w:abstractNumId w:val="89"/>
  </w:num>
  <w:num w:numId="7">
    <w:abstractNumId w:val="90"/>
  </w:num>
  <w:num w:numId="8">
    <w:abstractNumId w:val="31"/>
  </w:num>
  <w:num w:numId="9">
    <w:abstractNumId w:val="108"/>
  </w:num>
  <w:num w:numId="10">
    <w:abstractNumId w:val="94"/>
  </w:num>
  <w:num w:numId="11">
    <w:abstractNumId w:val="114"/>
  </w:num>
  <w:num w:numId="12">
    <w:abstractNumId w:val="22"/>
  </w:num>
  <w:num w:numId="13">
    <w:abstractNumId w:val="0"/>
  </w:num>
  <w:num w:numId="14">
    <w:abstractNumId w:val="83"/>
  </w:num>
  <w:num w:numId="15">
    <w:abstractNumId w:val="83"/>
  </w:num>
  <w:num w:numId="16">
    <w:abstractNumId w:val="111"/>
  </w:num>
  <w:num w:numId="17">
    <w:abstractNumId w:val="83"/>
  </w:num>
  <w:num w:numId="18">
    <w:abstractNumId w:val="88"/>
  </w:num>
  <w:num w:numId="19">
    <w:abstractNumId w:val="119"/>
  </w:num>
  <w:num w:numId="20">
    <w:abstractNumId w:val="25"/>
  </w:num>
  <w:num w:numId="21">
    <w:abstractNumId w:val="71"/>
  </w:num>
  <w:num w:numId="22">
    <w:abstractNumId w:val="60"/>
  </w:num>
  <w:num w:numId="23">
    <w:abstractNumId w:val="96"/>
  </w:num>
  <w:num w:numId="24">
    <w:abstractNumId w:val="29"/>
  </w:num>
  <w:num w:numId="25">
    <w:abstractNumId w:val="50"/>
  </w:num>
  <w:num w:numId="26">
    <w:abstractNumId w:val="8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8"/>
  </w:num>
  <w:num w:numId="34">
    <w:abstractNumId w:val="57"/>
  </w:num>
  <w:num w:numId="35">
    <w:abstractNumId w:val="79"/>
  </w:num>
  <w:num w:numId="36">
    <w:abstractNumId w:val="76"/>
  </w:num>
  <w:num w:numId="37">
    <w:abstractNumId w:val="23"/>
  </w:num>
  <w:num w:numId="38">
    <w:abstractNumId w:val="118"/>
  </w:num>
  <w:num w:numId="39">
    <w:abstractNumId w:val="69"/>
  </w:num>
  <w:num w:numId="40">
    <w:abstractNumId w:val="87"/>
  </w:num>
  <w:num w:numId="41">
    <w:abstractNumId w:val="8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13"/>
  </w:num>
  <w:num w:numId="43">
    <w:abstractNumId w:val="92"/>
  </w:num>
  <w:num w:numId="44">
    <w:abstractNumId w:val="115"/>
  </w:num>
  <w:num w:numId="45">
    <w:abstractNumId w:val="59"/>
  </w:num>
  <w:num w:numId="46">
    <w:abstractNumId w:val="75"/>
  </w:num>
  <w:num w:numId="47">
    <w:abstractNumId w:val="43"/>
  </w:num>
  <w:num w:numId="48">
    <w:abstractNumId w:val="106"/>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41"/>
  </w:num>
  <w:num w:numId="53">
    <w:abstractNumId w:val="120"/>
  </w:num>
  <w:num w:numId="54">
    <w:abstractNumId w:val="107"/>
  </w:num>
  <w:num w:numId="55">
    <w:abstractNumId w:val="67"/>
  </w:num>
  <w:num w:numId="56">
    <w:abstractNumId w:val="84"/>
  </w:num>
  <w:num w:numId="57">
    <w:abstractNumId w:val="39"/>
  </w:num>
  <w:num w:numId="58">
    <w:abstractNumId w:val="48"/>
  </w:num>
  <w:num w:numId="59">
    <w:abstractNumId w:val="102"/>
  </w:num>
  <w:num w:numId="60">
    <w:abstractNumId w:val="104"/>
  </w:num>
  <w:num w:numId="61">
    <w:abstractNumId w:val="99"/>
  </w:num>
  <w:num w:numId="62">
    <w:abstractNumId w:val="28"/>
  </w:num>
  <w:num w:numId="63">
    <w:abstractNumId w:val="45"/>
  </w:num>
  <w:num w:numId="64">
    <w:abstractNumId w:val="100"/>
  </w:num>
  <w:num w:numId="65">
    <w:abstractNumId w:val="2"/>
  </w:num>
  <w:num w:numId="66">
    <w:abstractNumId w:val="1"/>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num>
  <w:num w:numId="69">
    <w:abstractNumId w:val="26"/>
  </w:num>
  <w:num w:numId="70">
    <w:abstractNumId w:val="32"/>
  </w:num>
  <w:num w:numId="71">
    <w:abstractNumId w:val="93"/>
  </w:num>
  <w:num w:numId="72">
    <w:abstractNumId w:val="56"/>
  </w:num>
  <w:num w:numId="73">
    <w:abstractNumId w:val="103"/>
  </w:num>
  <w:num w:numId="74">
    <w:abstractNumId w:val="58"/>
  </w:num>
  <w:num w:numId="75">
    <w:abstractNumId w:val="34"/>
  </w:num>
  <w:num w:numId="76">
    <w:abstractNumId w:val="37"/>
  </w:num>
  <w:num w:numId="77">
    <w:abstractNumId w:val="54"/>
  </w:num>
  <w:num w:numId="78">
    <w:abstractNumId w:val="62"/>
  </w:num>
  <w:num w:numId="79">
    <w:abstractNumId w:val="47"/>
  </w:num>
  <w:num w:numId="80">
    <w:abstractNumId w:val="66"/>
  </w:num>
  <w:num w:numId="81">
    <w:abstractNumId w:val="116"/>
  </w:num>
  <w:num w:numId="82">
    <w:abstractNumId w:val="27"/>
  </w:num>
  <w:num w:numId="83">
    <w:abstractNumId w:val="105"/>
  </w:num>
  <w:num w:numId="84">
    <w:abstractNumId w:val="97"/>
  </w:num>
  <w:num w:numId="85">
    <w:abstractNumId w:val="42"/>
  </w:num>
  <w:num w:numId="86">
    <w:abstractNumId w:val="40"/>
  </w:num>
  <w:num w:numId="87">
    <w:abstractNumId w:val="98"/>
  </w:num>
  <w:num w:numId="88">
    <w:abstractNumId w:val="63"/>
  </w:num>
  <w:num w:numId="89">
    <w:abstractNumId w:val="36"/>
  </w:num>
  <w:num w:numId="90">
    <w:abstractNumId w:val="121"/>
  </w:num>
  <w:num w:numId="91">
    <w:abstractNumId w:val="80"/>
  </w:num>
  <w:num w:numId="92">
    <w:abstractNumId w:val="33"/>
  </w:num>
  <w:num w:numId="93">
    <w:abstractNumId w:val="72"/>
  </w:num>
  <w:num w:numId="94">
    <w:abstractNumId w:val="44"/>
  </w:num>
  <w:num w:numId="95">
    <w:abstractNumId w:val="85"/>
    <w:lvlOverride w:ilvl="0">
      <w:startOverride w:val="1"/>
    </w:lvlOverride>
  </w:num>
  <w:num w:numId="96">
    <w:abstractNumId w:val="68"/>
    <w:lvlOverride w:ilvl="0">
      <w:startOverride w:val="1"/>
    </w:lvlOverride>
  </w:num>
  <w:num w:numId="97">
    <w:abstractNumId w:val="46"/>
  </w:num>
  <w:num w:numId="9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1"/>
  </w:num>
  <w:num w:numId="102">
    <w:abstractNumId w:val="52"/>
  </w:num>
  <w:num w:numId="103">
    <w:abstractNumId w:val="73"/>
  </w:num>
  <w:num w:numId="104">
    <w:abstractNumId w:val="38"/>
  </w:num>
  <w:num w:numId="105">
    <w:abstractNumId w:val="21"/>
  </w:num>
  <w:num w:numId="106">
    <w:abstractNumId w:val="101"/>
  </w:num>
  <w:num w:numId="107">
    <w:abstractNumId w:val="24"/>
  </w:num>
  <w:num w:numId="108">
    <w:abstractNumId w:val="77"/>
  </w:num>
  <w:num w:numId="109">
    <w:abstractNumId w:val="35"/>
  </w:num>
  <w:num w:numId="110">
    <w:abstractNumId w:val="3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56D81"/>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1592"/>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2804A7E-96EF-4443-BEB3-6F1D659831C4}">
  <ds:schemaRefs>
    <ds:schemaRef ds:uri="http://schemas.openxmlformats.org/officeDocument/2006/bibliography"/>
  </ds:schemaRefs>
</ds:datastoreItem>
</file>

<file path=customXml/itemProps5.xml><?xml version="1.0" encoding="utf-8"?>
<ds:datastoreItem xmlns:ds="http://schemas.openxmlformats.org/officeDocument/2006/customXml" ds:itemID="{575D4E19-EE06-4A2F-A364-E991ACCB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2829</Words>
  <Characters>16979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2023-11-24T13:22:00Z</cp:lastPrinted>
  <dcterms:created xsi:type="dcterms:W3CDTF">2023-11-24T13:23:00Z</dcterms:created>
  <dcterms:modified xsi:type="dcterms:W3CDTF">2023-11-24T13:23:00Z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